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713C0" w14:textId="77777777" w:rsidR="00C21314" w:rsidRPr="00C21314" w:rsidRDefault="00C21314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>T. C. Selçuk Üniversitesi</w:t>
      </w:r>
    </w:p>
    <w:p w14:paraId="49BD86BD" w14:textId="1742A4A6" w:rsidR="00C21314" w:rsidRPr="00C21314" w:rsidRDefault="00D11BEF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  <w:bookmarkStart w:id="0" w:name="_Hlk64539789"/>
      <w:r w:rsidRPr="00AB0C8E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>Mimarlık ve Tasarım</w:t>
      </w:r>
      <w:r w:rsidR="00C21314" w:rsidRPr="00C21314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 xml:space="preserve"> Fakültesi</w:t>
      </w:r>
      <w:bookmarkEnd w:id="0"/>
      <w:r w:rsidR="00C21314" w:rsidRPr="00C21314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 xml:space="preserve"> Dekanlığı</w:t>
      </w:r>
    </w:p>
    <w:p w14:paraId="06E6E046" w14:textId="77777777" w:rsidR="00C21314" w:rsidRPr="00C21314" w:rsidRDefault="00C21314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>Bilimsel Etik Değerlendirme Kurulu</w:t>
      </w:r>
    </w:p>
    <w:p w14:paraId="62368836" w14:textId="6A43A5C5" w:rsidR="00C21314" w:rsidRDefault="00C21314" w:rsidP="00D11BEF">
      <w:pPr>
        <w:spacing w:after="0" w:line="240" w:lineRule="auto"/>
        <w:jc w:val="center"/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b/>
          <w:bCs/>
          <w:color w:val="4E4E4E"/>
          <w:sz w:val="24"/>
          <w:szCs w:val="24"/>
          <w:lang w:eastAsia="tr-TR"/>
        </w:rPr>
        <w:t>Başvuru Süreci</w:t>
      </w:r>
    </w:p>
    <w:p w14:paraId="403B67A2" w14:textId="77777777" w:rsidR="008A1150" w:rsidRPr="00C21314" w:rsidRDefault="008A1150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</w:p>
    <w:p w14:paraId="611474F4" w14:textId="77777777" w:rsidR="00C21314" w:rsidRPr="00C21314" w:rsidRDefault="00C21314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4E4E4E"/>
          <w:sz w:val="24"/>
          <w:szCs w:val="24"/>
          <w:lang w:eastAsia="tr-TR"/>
        </w:rPr>
        <w:t> </w:t>
      </w:r>
    </w:p>
    <w:p w14:paraId="68D79FB6" w14:textId="623FFF53" w:rsidR="00C21314" w:rsidRPr="00C21314" w:rsidRDefault="00C21314" w:rsidP="00D11BE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222222"/>
          <w:sz w:val="24"/>
          <w:szCs w:val="24"/>
          <w:lang w:eastAsia="tr-TR"/>
        </w:rPr>
        <w:t xml:space="preserve">Etik kurul onayı için </w:t>
      </w:r>
      <w:r w:rsidR="00424BE3" w:rsidRPr="00424BE3">
        <w:rPr>
          <w:rFonts w:eastAsia="Times New Roman" w:cstheme="minorHAnsi"/>
          <w:color w:val="222222"/>
          <w:sz w:val="24"/>
          <w:szCs w:val="24"/>
          <w:lang w:eastAsia="tr-TR"/>
        </w:rPr>
        <w:t>Mimarlık ve Tasarım Fakültesi</w:t>
      </w:r>
      <w:r w:rsidR="00424BE3" w:rsidRPr="00424BE3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r w:rsidRPr="00C21314">
        <w:rPr>
          <w:rFonts w:eastAsia="Times New Roman" w:cstheme="minorHAnsi"/>
          <w:color w:val="222222"/>
          <w:sz w:val="24"/>
          <w:szCs w:val="24"/>
          <w:lang w:eastAsia="tr-TR"/>
        </w:rPr>
        <w:t xml:space="preserve">başvuruda bulunan araştırmacılar, </w:t>
      </w:r>
      <w:r w:rsidR="00424BE3" w:rsidRPr="00424BE3">
        <w:rPr>
          <w:rFonts w:eastAsia="Times New Roman" w:cstheme="minorHAnsi"/>
          <w:color w:val="222222"/>
          <w:sz w:val="24"/>
          <w:szCs w:val="24"/>
          <w:lang w:eastAsia="tr-TR"/>
        </w:rPr>
        <w:t>Mimarlık ve Tasarım Fakültesi</w:t>
      </w:r>
      <w:r w:rsidR="00424BE3">
        <w:rPr>
          <w:rFonts w:eastAsia="Times New Roman" w:cstheme="minorHAnsi"/>
          <w:color w:val="222222"/>
          <w:sz w:val="24"/>
          <w:szCs w:val="24"/>
          <w:lang w:eastAsia="tr-TR"/>
        </w:rPr>
        <w:t xml:space="preserve">nin </w:t>
      </w:r>
      <w:r w:rsidRPr="00C21314">
        <w:rPr>
          <w:rFonts w:eastAsia="Times New Roman" w:cstheme="minorHAnsi"/>
          <w:color w:val="222222"/>
          <w:sz w:val="24"/>
          <w:szCs w:val="24"/>
          <w:lang w:eastAsia="tr-TR"/>
        </w:rPr>
        <w:t>web sayfasında örneği sunulan dilekçeyi doldurmalı ve ekine imzalı etik kurul başvuru formunu, veri toplama araçlarını (araştırmada kullanılan ölçek/anket/görüşme soruları ya da deney manipülasyonu vb.) ve varsa diğer belgelerini eklemelidir</w:t>
      </w:r>
    </w:p>
    <w:p w14:paraId="3316F89D" w14:textId="77777777" w:rsidR="00C21314" w:rsidRPr="00C21314" w:rsidRDefault="00C21314" w:rsidP="00D11BE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222222"/>
          <w:sz w:val="24"/>
          <w:szCs w:val="24"/>
          <w:lang w:eastAsia="tr-TR"/>
        </w:rPr>
        <w:t>Araştırmacılar, uygulama yapacakları kurumlardan ayrıca izin almak durumundadırlar. Etik kurul başvurusu, ilgili kurumlar aksini talep etmedikçe uygulama izni yerine geçmez.</w:t>
      </w:r>
    </w:p>
    <w:p w14:paraId="134C5D4E" w14:textId="77777777" w:rsidR="00C21314" w:rsidRPr="00C21314" w:rsidRDefault="00C21314" w:rsidP="00D11BE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222222"/>
          <w:sz w:val="24"/>
          <w:szCs w:val="24"/>
          <w:lang w:eastAsia="tr-TR"/>
        </w:rPr>
        <w:t>Başvuru, henüz araştırma süreci başlamamış çalışmalar için yapılır, devam etmekte olan ya da tamamlanmış çalışmalar geriye dönük olarak değerlendirmeye alınmaz.</w:t>
      </w:r>
    </w:p>
    <w:p w14:paraId="73A42AA3" w14:textId="026E5EC1" w:rsidR="00C21314" w:rsidRPr="00C21314" w:rsidRDefault="00424BE3" w:rsidP="00D11BEF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24BE3">
        <w:rPr>
          <w:rFonts w:eastAsia="Times New Roman" w:cstheme="minorHAnsi"/>
          <w:color w:val="222222"/>
          <w:sz w:val="24"/>
          <w:szCs w:val="24"/>
          <w:lang w:eastAsia="tr-TR"/>
        </w:rPr>
        <w:t>Mimarlık ve Tasarım Fakültesi</w:t>
      </w:r>
      <w:r w:rsidRPr="00424BE3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r w:rsidR="00C21314" w:rsidRPr="00C21314">
        <w:rPr>
          <w:rFonts w:eastAsia="Times New Roman" w:cstheme="minorHAnsi"/>
          <w:color w:val="222222"/>
          <w:sz w:val="24"/>
          <w:szCs w:val="24"/>
          <w:lang w:eastAsia="tr-TR"/>
        </w:rPr>
        <w:t>Bilimsel Etik Değerlendirme Kurulu yalnızca insan katılımcılarla veya insan üzerinden veri toplamaya dayalı klinik dışı çalışmalar için etik uygunluk değerlendirmesi yapmaktadır.</w:t>
      </w:r>
    </w:p>
    <w:p w14:paraId="0938B5BB" w14:textId="3AC13A56" w:rsidR="00DA2515" w:rsidRPr="00C21314" w:rsidRDefault="00424BE3" w:rsidP="00FB2B1A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eastAsia="Times New Roman" w:cstheme="minorHAnsi"/>
          <w:color w:val="222222"/>
          <w:sz w:val="24"/>
          <w:szCs w:val="24"/>
          <w:lang w:eastAsia="tr-TR"/>
        </w:rPr>
      </w:pPr>
      <w:r w:rsidRPr="00424BE3">
        <w:rPr>
          <w:rFonts w:eastAsia="Times New Roman" w:cstheme="minorHAnsi"/>
          <w:color w:val="222222"/>
          <w:sz w:val="24"/>
          <w:szCs w:val="24"/>
          <w:lang w:eastAsia="tr-TR"/>
        </w:rPr>
        <w:t>Mimarlık ve Tasarım Fakültesi</w:t>
      </w:r>
      <w:r w:rsidRPr="00424BE3">
        <w:rPr>
          <w:rFonts w:eastAsia="Times New Roman" w:cstheme="minorHAnsi"/>
          <w:color w:val="222222"/>
          <w:sz w:val="24"/>
          <w:szCs w:val="24"/>
          <w:lang w:eastAsia="tr-TR"/>
        </w:rPr>
        <w:t xml:space="preserve"> </w:t>
      </w:r>
      <w:r w:rsidR="00C21314" w:rsidRPr="00C21314">
        <w:rPr>
          <w:rFonts w:eastAsia="Times New Roman" w:cstheme="minorHAnsi"/>
          <w:color w:val="222222"/>
          <w:sz w:val="24"/>
          <w:szCs w:val="24"/>
          <w:lang w:eastAsia="tr-TR"/>
        </w:rPr>
        <w:t>Bilimsel Etik Değerlendirme Kurulu çalışma usulleri Selçuk Üniversitesi Bilimsel Araştırma ve Yayın Etiği Yönergesi dikkate alınarak düzenlenmiştir. Araştırmacıların bu yönergeye uyması gerekmektedir.</w:t>
      </w:r>
    </w:p>
    <w:p w14:paraId="58074D6E" w14:textId="77777777" w:rsidR="00C21314" w:rsidRPr="00C21314" w:rsidRDefault="00C21314" w:rsidP="00D11BEF">
      <w:pPr>
        <w:spacing w:after="0" w:line="240" w:lineRule="auto"/>
        <w:jc w:val="center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4E4E4E"/>
          <w:sz w:val="24"/>
          <w:szCs w:val="24"/>
          <w:lang w:eastAsia="tr-TR"/>
        </w:rPr>
        <w:t>       </w:t>
      </w:r>
    </w:p>
    <w:p w14:paraId="2B3265BB" w14:textId="7FFB8716" w:rsidR="00C21314" w:rsidRPr="00C21314" w:rsidRDefault="00C21314" w:rsidP="00DA2515">
      <w:pPr>
        <w:spacing w:after="0" w:line="240" w:lineRule="auto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4E4E4E"/>
          <w:sz w:val="24"/>
          <w:szCs w:val="24"/>
          <w:lang w:eastAsia="tr-TR"/>
        </w:rPr>
        <w:t> </w:t>
      </w:r>
      <w:hyperlink r:id="rId7" w:history="1">
        <w:r w:rsidRPr="00C21314">
          <w:rPr>
            <w:rFonts w:eastAsia="Times New Roman" w:cstheme="minorHAnsi"/>
            <w:color w:val="000000"/>
            <w:sz w:val="24"/>
            <w:szCs w:val="24"/>
            <w:u w:val="single"/>
            <w:lang w:eastAsia="tr-TR"/>
          </w:rPr>
          <w:t>Etik Kurul başvuru formunu görmek için tıklayınız.</w:t>
        </w:r>
      </w:hyperlink>
    </w:p>
    <w:p w14:paraId="47757892" w14:textId="1B3A3CB9" w:rsidR="00C21314" w:rsidRPr="00C21314" w:rsidRDefault="00C21314" w:rsidP="00DA2515">
      <w:pPr>
        <w:spacing w:after="0" w:line="240" w:lineRule="auto"/>
        <w:rPr>
          <w:rFonts w:eastAsia="Times New Roman" w:cstheme="minorHAnsi"/>
          <w:color w:val="4E4E4E"/>
          <w:sz w:val="24"/>
          <w:szCs w:val="24"/>
          <w:lang w:eastAsia="tr-TR"/>
        </w:rPr>
      </w:pPr>
      <w:r w:rsidRPr="00C21314">
        <w:rPr>
          <w:rFonts w:eastAsia="Times New Roman" w:cstheme="minorHAnsi"/>
          <w:color w:val="4E4E4E"/>
          <w:sz w:val="24"/>
          <w:szCs w:val="24"/>
          <w:lang w:eastAsia="tr-TR"/>
        </w:rPr>
        <w:t> </w:t>
      </w:r>
      <w:hyperlink r:id="rId8" w:history="1">
        <w:r w:rsidRPr="00C21314">
          <w:rPr>
            <w:rFonts w:eastAsia="Times New Roman" w:cstheme="minorHAnsi"/>
            <w:color w:val="000000"/>
            <w:sz w:val="24"/>
            <w:szCs w:val="24"/>
            <w:u w:val="single"/>
            <w:lang w:eastAsia="tr-TR"/>
          </w:rPr>
          <w:t>Etik Kurul dilekçe örneğini görmek için tıklayınız.</w:t>
        </w:r>
      </w:hyperlink>
    </w:p>
    <w:p w14:paraId="239285FA" w14:textId="77777777" w:rsidR="00781291" w:rsidRPr="00AB0C8E" w:rsidRDefault="00781291" w:rsidP="00DA2515">
      <w:pPr>
        <w:spacing w:after="0" w:line="240" w:lineRule="auto"/>
        <w:rPr>
          <w:rFonts w:cstheme="minorHAnsi"/>
          <w:sz w:val="24"/>
          <w:szCs w:val="24"/>
        </w:rPr>
      </w:pPr>
    </w:p>
    <w:sectPr w:rsidR="00781291" w:rsidRPr="00AB0C8E" w:rsidSect="00BF776B">
      <w:headerReference w:type="default" r:id="rId9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ED6018" w14:textId="77777777" w:rsidR="00F80378" w:rsidRDefault="00F80378" w:rsidP="00BF776B">
      <w:pPr>
        <w:spacing w:after="0" w:line="240" w:lineRule="auto"/>
      </w:pPr>
      <w:r>
        <w:separator/>
      </w:r>
    </w:p>
  </w:endnote>
  <w:endnote w:type="continuationSeparator" w:id="0">
    <w:p w14:paraId="2B066F21" w14:textId="77777777" w:rsidR="00F80378" w:rsidRDefault="00F80378" w:rsidP="00BF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71B2F" w14:textId="77777777" w:rsidR="00F80378" w:rsidRDefault="00F80378" w:rsidP="00BF776B">
      <w:pPr>
        <w:spacing w:after="0" w:line="240" w:lineRule="auto"/>
      </w:pPr>
      <w:r>
        <w:separator/>
      </w:r>
    </w:p>
  </w:footnote>
  <w:footnote w:type="continuationSeparator" w:id="0">
    <w:p w14:paraId="23A3DC1E" w14:textId="77777777" w:rsidR="00F80378" w:rsidRDefault="00F80378" w:rsidP="00BF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603B9" w14:textId="1CE678E6" w:rsidR="00BF776B" w:rsidRDefault="00BF776B" w:rsidP="00BF776B">
    <w:pPr>
      <w:pStyle w:val="stBilgi"/>
      <w:jc w:val="center"/>
    </w:pPr>
    <w:r>
      <w:rPr>
        <w:noProof/>
      </w:rPr>
      <w:drawing>
        <wp:inline distT="0" distB="0" distL="0" distR="0" wp14:anchorId="50B8CCEC" wp14:editId="6F74046A">
          <wp:extent cx="1896967" cy="720000"/>
          <wp:effectExtent l="0" t="0" r="8255" b="444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96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8637E"/>
    <w:multiLevelType w:val="multilevel"/>
    <w:tmpl w:val="8F5C5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14"/>
    <w:rsid w:val="00424BE3"/>
    <w:rsid w:val="00781291"/>
    <w:rsid w:val="008A1150"/>
    <w:rsid w:val="00AB0C8E"/>
    <w:rsid w:val="00BF776B"/>
    <w:rsid w:val="00C00C1F"/>
    <w:rsid w:val="00C21314"/>
    <w:rsid w:val="00D11BEF"/>
    <w:rsid w:val="00DA2515"/>
    <w:rsid w:val="00F8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2362F"/>
  <w15:chartTrackingRefBased/>
  <w15:docId w15:val="{56C94151-C6E9-47AC-937E-E50361E2E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13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31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C21314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F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76B"/>
  </w:style>
  <w:style w:type="paragraph" w:styleId="AltBilgi">
    <w:name w:val="footer"/>
    <w:basedOn w:val="Normal"/>
    <w:link w:val="AltBilgiChar"/>
    <w:uiPriority w:val="99"/>
    <w:unhideWhenUsed/>
    <w:rsid w:val="00BF77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77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admin.selcuk.edu.tr/BirimDosyalar/Dosyalar/edebiyat/or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admin.selcuk.edu.tr/BirimDosyalar/Dosyalar/edebiyat/form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Sertaç Güngör</dc:creator>
  <cp:keywords/>
  <dc:description/>
  <cp:lastModifiedBy>Sertaç Güngör</cp:lastModifiedBy>
  <cp:revision>7</cp:revision>
  <dcterms:created xsi:type="dcterms:W3CDTF">2021-02-18T08:19:00Z</dcterms:created>
  <dcterms:modified xsi:type="dcterms:W3CDTF">2021-02-18T08:23:00Z</dcterms:modified>
</cp:coreProperties>
</file>